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spacing w:after="0" w:line="570" w:lineRule="exact"/>
        <w:jc w:val="both"/>
        <w:outlineLvl w:val="9"/>
        <w:rPr>
          <w:rFonts w:ascii="黑体" w:hAnsi="黑体" w:eastAsia="PMingLiU"/>
          <w:color w:val="auto"/>
          <w:sz w:val="32"/>
          <w:lang w:eastAsia="zh-CN"/>
        </w:rPr>
      </w:pPr>
      <w:bookmarkStart w:id="0" w:name="bookmark27"/>
      <w:bookmarkStart w:id="1" w:name="bookmark26"/>
      <w:bookmarkStart w:id="2" w:name="bookmark28"/>
      <w:r>
        <w:rPr>
          <w:rFonts w:hint="eastAsia" w:ascii="黑体" w:hAnsi="黑体" w:eastAsia="黑体"/>
          <w:color w:val="auto"/>
          <w:sz w:val="32"/>
          <w:lang w:eastAsia="zh-CN"/>
        </w:rPr>
        <w:t>附件</w:t>
      </w:r>
    </w:p>
    <w:p>
      <w:pPr>
        <w:pStyle w:val="7"/>
        <w:keepNext/>
        <w:keepLines/>
        <w:spacing w:after="0" w:line="640" w:lineRule="exact"/>
        <w:outlineLvl w:val="0"/>
        <w:rPr>
          <w:rFonts w:ascii="Times New Roman" w:hAnsi="黑体" w:eastAsia="方正小标宋简体"/>
          <w:color w:val="auto"/>
          <w:sz w:val="44"/>
          <w:lang w:eastAsia="zh-CN"/>
        </w:rPr>
      </w:pPr>
    </w:p>
    <w:p>
      <w:pPr>
        <w:pStyle w:val="7"/>
        <w:keepNext/>
        <w:keepLines/>
        <w:spacing w:after="0" w:line="640" w:lineRule="exact"/>
        <w:outlineLvl w:val="0"/>
        <w:rPr>
          <w:rFonts w:ascii="Times New Roman" w:eastAsia="方正小标宋简体"/>
          <w:color w:val="39413F"/>
          <w:sz w:val="44"/>
          <w:lang w:eastAsia="zh-CN"/>
        </w:rPr>
      </w:pPr>
      <w:r>
        <w:rPr>
          <w:rFonts w:ascii="Times New Roman" w:eastAsia="方正小标宋简体"/>
          <w:color w:val="39413F"/>
          <w:sz w:val="44"/>
          <w:lang w:eastAsia="zh-CN"/>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lang w:eastAsia="zh-CN"/>
        </w:rPr>
        <w:t>轮省级生态环境保护督察第</w:t>
      </w:r>
      <w:r>
        <w:rPr>
          <w:rFonts w:hint="eastAsia" w:ascii="Times New Roman" w:eastAsia="方正小标宋简体"/>
          <w:color w:val="39413F"/>
          <w:sz w:val="44"/>
          <w:lang w:val="en-US" w:eastAsia="zh-CN"/>
        </w:rPr>
        <w:t>四十二</w:t>
      </w:r>
      <w:r>
        <w:rPr>
          <w:rFonts w:ascii="Times New Roman" w:eastAsia="方正小标宋简体"/>
          <w:color w:val="39413F"/>
          <w:sz w:val="44"/>
          <w:lang w:eastAsia="zh-CN"/>
        </w:rPr>
        <w:t>项</w:t>
      </w:r>
    </w:p>
    <w:p>
      <w:pPr>
        <w:pStyle w:val="7"/>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整改任务完成情况表</w:t>
      </w:r>
      <w:bookmarkEnd w:id="0"/>
      <w:bookmarkEnd w:id="1"/>
      <w:bookmarkEnd w:id="2"/>
    </w:p>
    <w:p>
      <w:pPr>
        <w:pStyle w:val="7"/>
        <w:keepNext/>
        <w:keepLines/>
        <w:spacing w:after="0" w:line="640" w:lineRule="exact"/>
        <w:outlineLvl w:val="0"/>
        <w:rPr>
          <w:rFonts w:ascii="Times New Roman" w:eastAsia="方正小标宋简体"/>
          <w:sz w:val="44"/>
        </w:rPr>
      </w:pPr>
    </w:p>
    <w:tbl>
      <w:tblPr>
        <w:tblStyle w:val="5"/>
        <w:tblW w:w="0" w:type="auto"/>
        <w:jc w:val="center"/>
        <w:tblLayout w:type="fixed"/>
        <w:tblCellMar>
          <w:top w:w="0" w:type="dxa"/>
          <w:left w:w="10" w:type="dxa"/>
          <w:bottom w:w="0" w:type="dxa"/>
          <w:right w:w="10" w:type="dxa"/>
        </w:tblCellMar>
      </w:tblPr>
      <w:tblGrid>
        <w:gridCol w:w="1980"/>
        <w:gridCol w:w="6482"/>
      </w:tblGrid>
      <w:tr>
        <w:tblPrEx>
          <w:tblCellMar>
            <w:top w:w="0" w:type="dxa"/>
            <w:left w:w="10" w:type="dxa"/>
            <w:bottom w:w="0" w:type="dxa"/>
            <w:right w:w="10" w:type="dxa"/>
          </w:tblCellMar>
        </w:tblPrEx>
        <w:trPr>
          <w:jc w:val="center"/>
        </w:trPr>
        <w:tc>
          <w:tcPr>
            <w:tcW w:w="1980" w:type="dxa"/>
            <w:tcBorders>
              <w:top w:val="single" w:color="auto" w:sz="4" w:space="0"/>
              <w:left w:val="single" w:color="auto" w:sz="4" w:space="0"/>
            </w:tcBorders>
            <w:shd w:val="clear" w:color="auto" w:fill="FFFFFF"/>
            <w:vAlign w:val="center"/>
          </w:tcPr>
          <w:p>
            <w:pPr>
              <w:pStyle w:val="10"/>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482" w:type="dxa"/>
            <w:tcBorders>
              <w:top w:val="single" w:color="auto" w:sz="4" w:space="0"/>
              <w:left w:val="single" w:color="auto" w:sz="4" w:space="0"/>
              <w:right w:val="single" w:color="auto" w:sz="4" w:space="0"/>
            </w:tcBorders>
            <w:shd w:val="clear" w:color="auto" w:fill="FFFFFF"/>
            <w:vAlign w:val="center"/>
          </w:tcPr>
          <w:p>
            <w:pPr>
              <w:spacing w:line="550" w:lineRule="exact"/>
              <w:ind w:firstLine="632" w:firstLineChars="200"/>
              <w:jc w:val="both"/>
              <w:rPr>
                <w:rFonts w:ascii="仿宋_GB2312" w:hAnsi="宋体" w:eastAsia="仿宋_GB2312" w:cs="宋体"/>
                <w:szCs w:val="32"/>
                <w:lang w:eastAsia="zh-CN"/>
              </w:rPr>
            </w:pPr>
            <w:r>
              <w:rPr>
                <w:rFonts w:hint="eastAsia" w:ascii="仿宋_GB2312" w:hAnsi="宋体" w:eastAsia="仿宋_GB2312" w:cs="宋体"/>
                <w:szCs w:val="32"/>
                <w:lang w:val="en-US" w:eastAsia="zh-CN"/>
              </w:rPr>
              <w:t>四川省第三轮生态环境保护督察蜀道集团督察报告整改方案第四十二项整改任务：交通运输部《公路、水路交通实施〈中华人民共和国节约能源法〉办法》要求，交通用能单位应当加强节能管理，制定并实施节能计划和节能技术措施，建立和完善节能管理制度。督察发现，蜀道集团运营高速公路普遍未建立节能工作体系，节能技术和清洁能源应用不足</w:t>
            </w:r>
            <w:r>
              <w:rPr>
                <w:rFonts w:hint="eastAsia" w:ascii="仿宋_GB2312" w:hAnsi="宋体" w:eastAsia="仿宋_GB2312" w:cs="宋体"/>
                <w:szCs w:val="32"/>
                <w:lang w:eastAsia="zh-CN"/>
              </w:rPr>
              <w:t>。</w:t>
            </w:r>
          </w:p>
        </w:tc>
      </w:tr>
      <w:tr>
        <w:tblPrEx>
          <w:tblCellMar>
            <w:top w:w="0" w:type="dxa"/>
            <w:left w:w="10" w:type="dxa"/>
            <w:bottom w:w="0" w:type="dxa"/>
            <w:right w:w="10" w:type="dxa"/>
          </w:tblCellMar>
        </w:tblPrEx>
        <w:trPr>
          <w:trHeight w:val="1288" w:hRule="exact"/>
          <w:jc w:val="center"/>
        </w:trPr>
        <w:tc>
          <w:tcPr>
            <w:tcW w:w="1980" w:type="dxa"/>
            <w:tcBorders>
              <w:top w:val="single" w:color="auto" w:sz="4" w:space="0"/>
              <w:left w:val="single" w:color="auto" w:sz="4" w:space="0"/>
            </w:tcBorders>
            <w:shd w:val="clear" w:color="auto" w:fill="FFFFFF"/>
            <w:vAlign w:val="center"/>
          </w:tcPr>
          <w:p>
            <w:pPr>
              <w:pStyle w:val="10"/>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482" w:type="dxa"/>
            <w:tcBorders>
              <w:top w:val="single" w:color="auto" w:sz="4" w:space="0"/>
              <w:left w:val="single" w:color="auto" w:sz="4" w:space="0"/>
              <w:right w:val="single" w:color="auto" w:sz="4" w:space="0"/>
            </w:tcBorders>
            <w:shd w:val="clear" w:color="auto" w:fill="FFFFFF"/>
            <w:vAlign w:val="center"/>
          </w:tcPr>
          <w:p>
            <w:pPr>
              <w:spacing w:line="550" w:lineRule="exact"/>
              <w:jc w:val="center"/>
              <w:rPr>
                <w:rFonts w:hint="eastAsia" w:ascii="仿宋_GB2312" w:hAnsi="宋体" w:eastAsia="仿宋_GB2312" w:cs="宋体"/>
                <w:szCs w:val="32"/>
                <w:lang w:eastAsia="zh-CN"/>
              </w:rPr>
            </w:pPr>
            <w:r>
              <w:rPr>
                <w:rFonts w:hint="eastAsia" w:ascii="仿宋_GB2312" w:hAnsi="宋体" w:eastAsia="仿宋_GB2312" w:cs="宋体"/>
                <w:szCs w:val="32"/>
                <w:lang w:eastAsia="zh-CN"/>
              </w:rPr>
              <w:t>四川高速公路</w:t>
            </w:r>
            <w:r>
              <w:rPr>
                <w:rFonts w:hint="eastAsia" w:ascii="仿宋_GB2312" w:hAnsi="宋体" w:eastAsia="仿宋_GB2312" w:cs="宋体"/>
                <w:szCs w:val="32"/>
                <w:lang w:val="en-US" w:eastAsia="zh-CN"/>
              </w:rPr>
              <w:t>建设开发</w:t>
            </w:r>
            <w:r>
              <w:rPr>
                <w:rFonts w:hint="eastAsia" w:ascii="仿宋_GB2312" w:hAnsi="宋体" w:eastAsia="仿宋_GB2312" w:cs="宋体"/>
                <w:szCs w:val="32"/>
                <w:lang w:eastAsia="zh-CN"/>
              </w:rPr>
              <w:t>集团有限公司</w:t>
            </w:r>
          </w:p>
          <w:p>
            <w:pPr>
              <w:spacing w:line="550" w:lineRule="exact"/>
              <w:jc w:val="center"/>
              <w:rPr>
                <w:rFonts w:ascii="仿宋_GB2312" w:hAnsi="宋体" w:eastAsia="仿宋_GB2312" w:cs="宋体"/>
                <w:szCs w:val="32"/>
                <w:lang w:eastAsia="zh-CN"/>
              </w:rPr>
            </w:pPr>
            <w:r>
              <w:rPr>
                <w:rFonts w:hint="eastAsia" w:ascii="仿宋_GB2312" w:hAnsi="宋体" w:eastAsia="仿宋_GB2312" w:cs="宋体"/>
                <w:szCs w:val="32"/>
                <w:lang w:eastAsia="zh-CN"/>
              </w:rPr>
              <w:t>（</w:t>
            </w:r>
            <w:r>
              <w:rPr>
                <w:rFonts w:hint="eastAsia" w:ascii="仿宋_GB2312" w:hAnsi="宋体" w:eastAsia="仿宋_GB2312" w:cs="宋体"/>
                <w:szCs w:val="32"/>
                <w:lang w:val="en-US" w:eastAsia="zh-CN"/>
              </w:rPr>
              <w:t>川高公司</w:t>
            </w:r>
            <w:r>
              <w:rPr>
                <w:rFonts w:hint="eastAsia" w:ascii="仿宋_GB2312" w:hAnsi="宋体" w:eastAsia="仿宋_GB2312" w:cs="宋体"/>
                <w:szCs w:val="32"/>
                <w:lang w:eastAsia="zh-CN"/>
              </w:rPr>
              <w:t>）</w:t>
            </w:r>
          </w:p>
        </w:tc>
      </w:tr>
      <w:tr>
        <w:tblPrEx>
          <w:tblCellMar>
            <w:top w:w="0" w:type="dxa"/>
            <w:left w:w="10" w:type="dxa"/>
            <w:bottom w:w="0" w:type="dxa"/>
            <w:right w:w="10" w:type="dxa"/>
          </w:tblCellMar>
        </w:tblPrEx>
        <w:trPr>
          <w:jc w:val="center"/>
        </w:trPr>
        <w:tc>
          <w:tcPr>
            <w:tcW w:w="1980" w:type="dxa"/>
            <w:tcBorders>
              <w:top w:val="single" w:color="auto" w:sz="4" w:space="0"/>
              <w:left w:val="single" w:color="auto" w:sz="4" w:space="0"/>
              <w:bottom w:val="single" w:color="auto" w:sz="4" w:space="0"/>
            </w:tcBorders>
            <w:shd w:val="clear" w:color="auto" w:fill="FFFFFF"/>
            <w:vAlign w:val="center"/>
          </w:tcPr>
          <w:p>
            <w:pPr>
              <w:pStyle w:val="10"/>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48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50" w:lineRule="exact"/>
              <w:ind w:firstLine="632" w:firstLineChars="200"/>
              <w:jc w:val="both"/>
              <w:rPr>
                <w:rFonts w:ascii="仿宋_GB2312" w:eastAsia="仿宋_GB2312"/>
                <w:szCs w:val="32"/>
                <w:lang w:eastAsia="zh-CN"/>
              </w:rPr>
            </w:pPr>
            <w:r>
              <w:rPr>
                <w:rFonts w:hint="eastAsia" w:ascii="仿宋_GB2312" w:eastAsia="仿宋_GB2312"/>
                <w:szCs w:val="32"/>
                <w:lang w:eastAsia="zh-CN"/>
              </w:rPr>
              <w:t>完善节能管理制度，强化能耗管理，摸清能耗底数，提高节能技术和清洁能源使用率。</w:t>
            </w:r>
          </w:p>
        </w:tc>
      </w:tr>
      <w:tr>
        <w:tblPrEx>
          <w:tblCellMar>
            <w:top w:w="0" w:type="dxa"/>
            <w:left w:w="10" w:type="dxa"/>
            <w:bottom w:w="0" w:type="dxa"/>
            <w:right w:w="10" w:type="dxa"/>
          </w:tblCellMar>
        </w:tblPrEx>
        <w:trPr>
          <w:jc w:val="center"/>
        </w:trPr>
        <w:tc>
          <w:tcPr>
            <w:tcW w:w="19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482" w:type="dxa"/>
            <w:tcBorders>
              <w:top w:val="single" w:color="auto" w:sz="4" w:space="0"/>
              <w:left w:val="single" w:color="auto" w:sz="4" w:space="0"/>
              <w:bottom w:val="single" w:color="auto" w:sz="4" w:space="0"/>
              <w:right w:val="single" w:color="auto" w:sz="4" w:space="0"/>
            </w:tcBorders>
            <w:shd w:val="clear" w:color="auto" w:fill="FFFFFF"/>
          </w:tcPr>
          <w:p>
            <w:pPr>
              <w:spacing w:line="550" w:lineRule="exact"/>
              <w:ind w:firstLine="632" w:firstLineChars="200"/>
              <w:jc w:val="both"/>
              <w:rPr>
                <w:rFonts w:eastAsia="仿宋_GB2312"/>
                <w:color w:val="FF0000"/>
                <w:szCs w:val="32"/>
                <w:lang w:eastAsia="zh-CN"/>
              </w:rPr>
            </w:pPr>
            <w:r>
              <w:rPr>
                <w:rFonts w:hint="eastAsia" w:eastAsia="仿宋_GB2312"/>
                <w:color w:val="auto"/>
                <w:szCs w:val="32"/>
                <w:lang w:eastAsia="zh-CN"/>
              </w:rPr>
              <w:t>1.开展供电系统状态和能耗监测分析试点工作，总结归纳用电规律，初步建立能源管理体系和制度。</w:t>
            </w:r>
          </w:p>
        </w:tc>
      </w:tr>
      <w:tr>
        <w:tblPrEx>
          <w:tblCellMar>
            <w:top w:w="0" w:type="dxa"/>
            <w:left w:w="10" w:type="dxa"/>
            <w:bottom w:w="0" w:type="dxa"/>
            <w:right w:w="10" w:type="dxa"/>
          </w:tblCellMar>
        </w:tblPrEx>
        <w:trPr>
          <w:trHeight w:val="7058" w:hRule="atLeast"/>
          <w:jc w:val="center"/>
        </w:trPr>
        <w:tc>
          <w:tcPr>
            <w:tcW w:w="1980" w:type="dxa"/>
            <w:tcBorders>
              <w:top w:val="single" w:color="auto" w:sz="4" w:space="0"/>
              <w:left w:val="single" w:color="auto" w:sz="4" w:space="0"/>
              <w:bottom w:val="single" w:color="auto" w:sz="4" w:space="0"/>
            </w:tcBorders>
            <w:shd w:val="clear" w:color="auto" w:fill="FFFFFF"/>
            <w:vAlign w:val="center"/>
          </w:tcPr>
          <w:p>
            <w:pPr>
              <w:pStyle w:val="10"/>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0"/>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482" w:type="dxa"/>
            <w:tcBorders>
              <w:top w:val="single" w:color="auto" w:sz="4" w:space="0"/>
              <w:left w:val="single" w:color="auto" w:sz="4" w:space="0"/>
              <w:bottom w:val="single" w:color="auto" w:sz="4" w:space="0"/>
              <w:right w:val="single" w:color="auto" w:sz="4" w:space="0"/>
            </w:tcBorders>
            <w:shd w:val="clear" w:color="auto" w:fill="FFFFFF"/>
          </w:tcPr>
          <w:p>
            <w:pPr>
              <w:spacing w:line="550" w:lineRule="exact"/>
              <w:ind w:firstLine="632" w:firstLineChars="200"/>
              <w:jc w:val="both"/>
              <w:rPr>
                <w:rFonts w:hint="eastAsia" w:ascii="仿宋_GB2312" w:hAnsi="宋体" w:eastAsia="仿宋_GB2312" w:cs="宋体"/>
                <w:szCs w:val="32"/>
                <w:lang w:val="en-US" w:eastAsia="zh-CN"/>
              </w:rPr>
            </w:pPr>
            <w:r>
              <w:rPr>
                <w:rFonts w:hint="eastAsia" w:ascii="仿宋_GB2312" w:hAnsi="宋体" w:eastAsia="仿宋_GB2312" w:cs="宋体"/>
                <w:szCs w:val="32"/>
                <w:lang w:val="en-US" w:eastAsia="zh-CN"/>
              </w:rPr>
              <w:t>1.川高公司通过对收费站、隧道、服务区、监控中心等不同场景采集用电能耗监测数据，总结归纳用电规律，科学制定高速公路各场景用电标准，加快推进能耗监测试点项目实施；</w:t>
            </w:r>
          </w:p>
          <w:p>
            <w:pPr>
              <w:spacing w:line="550" w:lineRule="exact"/>
              <w:ind w:firstLine="632" w:firstLineChars="200"/>
              <w:jc w:val="both"/>
              <w:rPr>
                <w:rFonts w:hint="eastAsia" w:ascii="仿宋_GB2312" w:hAnsi="宋体" w:eastAsia="仿宋_GB2312" w:cs="宋体"/>
                <w:szCs w:val="32"/>
                <w:lang w:val="en-US" w:eastAsia="zh-CN"/>
              </w:rPr>
            </w:pPr>
            <w:r>
              <w:rPr>
                <w:rFonts w:hint="eastAsia" w:ascii="仿宋_GB2312" w:hAnsi="宋体" w:eastAsia="仿宋_GB2312" w:cs="宋体"/>
                <w:szCs w:val="32"/>
                <w:lang w:val="en-US" w:eastAsia="zh-CN"/>
              </w:rPr>
              <w:t xml:space="preserve">2.2023年12月，川高公司已组织各相关单位完成内宜、广甘、成都绕城电力能耗监测项目设计方案及专家评审，已初步搭建电力能耗监测管理平台，后续进一步完善功能和调试开发。 </w:t>
            </w:r>
          </w:p>
          <w:p>
            <w:pPr>
              <w:spacing w:line="550" w:lineRule="exact"/>
              <w:ind w:firstLine="632" w:firstLineChars="200"/>
              <w:jc w:val="both"/>
              <w:rPr>
                <w:rFonts w:hint="eastAsia" w:ascii="仿宋_GB2312" w:hAnsi="宋体" w:eastAsia="仿宋_GB2312" w:cs="宋体"/>
                <w:szCs w:val="32"/>
                <w:lang w:val="en-US" w:eastAsia="zh-CN"/>
              </w:rPr>
            </w:pPr>
            <w:r>
              <w:rPr>
                <w:rFonts w:hint="eastAsia" w:ascii="仿宋_GB2312" w:hAnsi="宋体" w:eastAsia="仿宋_GB2312" w:cs="宋体"/>
                <w:szCs w:val="32"/>
                <w:lang w:val="en-US" w:eastAsia="zh-CN"/>
              </w:rPr>
              <w:t>3.川高公司根据试点效果，持续推进能源管理体系建设，逐步建立适合高速业务场景的能效指标、定额及考核管理标准。</w:t>
            </w:r>
          </w:p>
        </w:tc>
      </w:tr>
    </w:tbl>
    <w:p>
      <w:pPr>
        <w:rPr>
          <w:lang w:eastAsia="zh-CN"/>
        </w:rPr>
      </w:pPr>
      <w:bookmarkStart w:id="3" w:name="_GoBack"/>
      <w:bookmarkEnd w:id="3"/>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pgBorders>
        <w:top w:val="none" w:sz="0" w:space="0"/>
        <w:left w:val="none" w:sz="0" w:space="0"/>
        <w:bottom w:val="none" w:sz="0" w:space="0"/>
        <w:right w:val="none" w:sz="0" w:space="0"/>
      </w:pgBorders>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00172A27"/>
    <w:rsid w:val="000A288F"/>
    <w:rsid w:val="00746724"/>
    <w:rsid w:val="00AB61E9"/>
    <w:rsid w:val="00B266D2"/>
    <w:rsid w:val="00E4080A"/>
    <w:rsid w:val="034C42F7"/>
    <w:rsid w:val="042C0EEB"/>
    <w:rsid w:val="0620509A"/>
    <w:rsid w:val="0891161B"/>
    <w:rsid w:val="0AAA550E"/>
    <w:rsid w:val="0B436851"/>
    <w:rsid w:val="0EED10F5"/>
    <w:rsid w:val="13876B1D"/>
    <w:rsid w:val="14306A6E"/>
    <w:rsid w:val="14717A98"/>
    <w:rsid w:val="15200B35"/>
    <w:rsid w:val="15AC7766"/>
    <w:rsid w:val="177E7536"/>
    <w:rsid w:val="1A97792D"/>
    <w:rsid w:val="1CD5291C"/>
    <w:rsid w:val="20A23215"/>
    <w:rsid w:val="245911BE"/>
    <w:rsid w:val="26461D57"/>
    <w:rsid w:val="2AF4778E"/>
    <w:rsid w:val="2F3C3C3E"/>
    <w:rsid w:val="3032101E"/>
    <w:rsid w:val="30717C09"/>
    <w:rsid w:val="3133374C"/>
    <w:rsid w:val="31A359FC"/>
    <w:rsid w:val="32E24F82"/>
    <w:rsid w:val="34006CB9"/>
    <w:rsid w:val="34345C17"/>
    <w:rsid w:val="37AD7B32"/>
    <w:rsid w:val="37EE5AD1"/>
    <w:rsid w:val="39407FA8"/>
    <w:rsid w:val="3A952348"/>
    <w:rsid w:val="3B1662FE"/>
    <w:rsid w:val="3F3F7AAD"/>
    <w:rsid w:val="43622277"/>
    <w:rsid w:val="44F726AD"/>
    <w:rsid w:val="4ACC7988"/>
    <w:rsid w:val="4DBA61BD"/>
    <w:rsid w:val="517C5E3E"/>
    <w:rsid w:val="517D38BF"/>
    <w:rsid w:val="528648C0"/>
    <w:rsid w:val="52EE7DCB"/>
    <w:rsid w:val="54D6468B"/>
    <w:rsid w:val="550A1892"/>
    <w:rsid w:val="583E3953"/>
    <w:rsid w:val="59FE5B32"/>
    <w:rsid w:val="5A031595"/>
    <w:rsid w:val="60C60DD4"/>
    <w:rsid w:val="60CA063E"/>
    <w:rsid w:val="62BE0F0F"/>
    <w:rsid w:val="62D52D32"/>
    <w:rsid w:val="64A44C91"/>
    <w:rsid w:val="65AB2B63"/>
    <w:rsid w:val="66F60B4B"/>
    <w:rsid w:val="6A2C2178"/>
    <w:rsid w:val="6AB22299"/>
    <w:rsid w:val="6B3A3476"/>
    <w:rsid w:val="6C5D58A2"/>
    <w:rsid w:val="6E09733B"/>
    <w:rsid w:val="708A7E30"/>
    <w:rsid w:val="70927820"/>
    <w:rsid w:val="70AB0A64"/>
    <w:rsid w:val="71436104"/>
    <w:rsid w:val="73721B3C"/>
    <w:rsid w:val="759E5C0A"/>
    <w:rsid w:val="75E17476"/>
    <w:rsid w:val="7AF27D45"/>
    <w:rsid w:val="7C112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0"/>
    <w:pPr>
      <w:tabs>
        <w:tab w:val="center" w:pos="4153"/>
        <w:tab w:val="right" w:pos="8306"/>
      </w:tabs>
      <w:snapToGrid w:val="0"/>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8">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9">
    <w:name w:val="Body text|3"/>
    <w:basedOn w:val="1"/>
    <w:qFormat/>
    <w:uiPriority w:val="0"/>
    <w:pPr>
      <w:spacing w:after="540"/>
      <w:ind w:firstLine="800"/>
    </w:pPr>
    <w:rPr>
      <w:color w:val="1F2121"/>
      <w:szCs w:val="32"/>
    </w:rPr>
  </w:style>
  <w:style w:type="paragraph" w:customStyle="1" w:styleId="10">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1">
    <w:name w:val="页眉 字符"/>
    <w:basedOn w:val="6"/>
    <w:link w:val="4"/>
    <w:qFormat/>
    <w:uiPriority w:val="0"/>
    <w:rPr>
      <w:rFonts w:eastAsia="Times New Roman"/>
      <w:color w:val="000000"/>
      <w:sz w:val="18"/>
      <w:szCs w:val="18"/>
      <w:lang w:eastAsia="en-US" w:bidi="en-US"/>
    </w:rPr>
  </w:style>
  <w:style w:type="character" w:customStyle="1" w:styleId="12">
    <w:name w:val="页脚 字符"/>
    <w:basedOn w:val="6"/>
    <w:link w:val="3"/>
    <w:qFormat/>
    <w:uiPriority w:val="0"/>
    <w:rPr>
      <w:rFonts w:eastAsia="Times New Roman"/>
      <w:color w:val="000000"/>
      <w:sz w:val="18"/>
      <w:szCs w:val="18"/>
      <w:lang w:eastAsia="en-US" w:bidi="en-US"/>
    </w:rPr>
  </w:style>
  <w:style w:type="character" w:customStyle="1" w:styleId="13">
    <w:name w:val="日期 字符"/>
    <w:basedOn w:val="6"/>
    <w:link w:val="2"/>
    <w:qFormat/>
    <w:uiPriority w:val="0"/>
    <w:rPr>
      <w:rFonts w:eastAsia="Times New Roman"/>
      <w:color w:val="000000"/>
      <w:sz w:val="32"/>
      <w:szCs w:val="24"/>
      <w:lang w:eastAsia="en-US" w:bidi="en-US"/>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Words>
  <Characters>729</Characters>
  <Lines>6</Lines>
  <Paragraphs>1</Paragraphs>
  <TotalTime>0</TotalTime>
  <ScaleCrop>false</ScaleCrop>
  <LinksUpToDate>false</LinksUpToDate>
  <CharactersWithSpaces>855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2023-11-27T11:57:00Z</dcterms:created>
  <dc:creator>祥子</dc:creator>
  <cp:lastModifiedBy>Lenovo</cp:lastModifiedBy>
  <cp:lastPrinted>2023-11-29T04:38:00Z</cp:lastPrinted>
  <dcterms:modified xsi:type="dcterms:W3CDTF">2023-12-18T03:27:34Z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9FAFBA2632D0486CB1D7E8F381EB83DB_13</vt:lpwstr>
  </property>
</Properties>
</file>